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Gjetja e Jetës - Një Studim në Ungjillin e Gjonit</w:t>
      </w:r>
    </w:p>
    <w:p w:rsidR="00000000" w:rsidDel="00000000" w:rsidP="00000000" w:rsidRDefault="00000000" w:rsidRPr="00000000">
      <w:pPr>
        <w:contextualSpacing w:val="0"/>
        <w:jc w:val="center"/>
        <w:rPr>
          <w:b w:val="1"/>
          <w:u w:val="single"/>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Pjesa 2 - Mesazhi i Jezusit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Ungjilli i Gjonit - Lista e Leximit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Kapitulli 8                               ☐ Kapitulli 9                               ☐ Kapitulli 10</w:t>
      </w:r>
    </w:p>
    <w:p w:rsidR="00000000" w:rsidDel="00000000" w:rsidP="00000000" w:rsidRDefault="00000000" w:rsidRPr="00000000">
      <w:pPr>
        <w:contextualSpacing w:val="0"/>
        <w:rPr/>
      </w:pPr>
      <w:r w:rsidDel="00000000" w:rsidR="00000000" w:rsidRPr="00000000">
        <w:rPr>
          <w:rtl w:val="0"/>
        </w:rPr>
        <w:t xml:space="preserve">☐ Kapitulli 11                              ☐ Kapitulli 12                            ☐ Kapitulli 13</w:t>
      </w:r>
    </w:p>
    <w:p w:rsidR="00000000" w:rsidDel="00000000" w:rsidP="00000000" w:rsidRDefault="00000000" w:rsidRPr="00000000">
      <w:pPr>
        <w:contextualSpacing w:val="0"/>
        <w:rPr/>
      </w:pPr>
      <w:r w:rsidDel="00000000" w:rsidR="00000000" w:rsidRPr="00000000">
        <w:rPr>
          <w:rtl w:val="0"/>
        </w:rPr>
        <w:t xml:space="preserve">☐ Kapitulli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 lutemi mbani mend të luteni, duke i kërkuar Perëndisë t'ju tregojë të vërtetën, para se të shikoni këtë studim. Në pjesën e parë ne pamë se si Jezusi shumë qartë pretendonte të ishte Perëndia në formë njerëzore. Në pjesën e dytë ne do të shqyrtojmë provat që mbështesin pretendimin dhe deklaratat e tij dhe pastaj fillojmë të shohin mesazhin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Dëshmi për pretendimet e Jezusit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Konsideroni me kujdes këto pika:</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Ai e ndau historinë në dy - para Krishtit /pas Krishtit. Ai ishte një person i vërtetë historik.</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Ai bëri shumë mrekulli të mëdha.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14:11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Shihni edhe Gjonin 10:25 &amp; 5:36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Ai përmbushi profecitë e Dhiatës së Vjetër. Mbi 300 referenca ndaj Mesisë u përmbushën në jetën, vdekjen dhe ringjalljen e Jezusit. * </w:t>
      </w:r>
      <w:r w:rsidDel="00000000" w:rsidR="00000000" w:rsidRPr="00000000">
        <w:rPr>
          <w:vertAlign w:val="superscript"/>
          <w:rtl w:val="0"/>
        </w:rPr>
        <w:t xml:space="preserve">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12:16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Shih edhe Gjoni 5:46 &amp; 19: 24,28,36-37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Ai u ngrit nga të vdekurit!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10: 17-18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vertAlign w:val="superscript"/>
        </w:rPr>
      </w:pPr>
      <w:r w:rsidDel="00000000" w:rsidR="00000000" w:rsidRPr="00000000">
        <w:rPr>
          <w:rtl w:val="0"/>
        </w:rPr>
        <w:t xml:space="preserve">Shih edhe kapitujt e Gjonit 20 dhe 21 *</w:t>
      </w:r>
      <w:r w:rsidDel="00000000" w:rsidR="00000000" w:rsidRPr="00000000">
        <w:rPr>
          <w:vertAlign w:val="superscript"/>
          <w:rtl w:val="0"/>
        </w:rPr>
        <w:t xml:space="preserve"> 2</w:t>
      </w:r>
    </w:p>
    <w:p w:rsidR="00000000" w:rsidDel="00000000" w:rsidP="00000000" w:rsidRDefault="00000000" w:rsidRPr="00000000">
      <w:pPr>
        <w:contextualSpacing w:val="0"/>
        <w:rPr>
          <w:vertAlign w:val="superscript"/>
        </w:rPr>
      </w:pPr>
      <w:r w:rsidDel="00000000" w:rsidR="00000000" w:rsidRPr="00000000">
        <w:rPr>
          <w:rtl w:val="0"/>
        </w:rPr>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Pati</w:t>
      </w:r>
      <w:r w:rsidDel="00000000" w:rsidR="00000000" w:rsidRPr="00000000">
        <w:rPr>
          <w:rtl w:val="0"/>
        </w:rPr>
        <w:t xml:space="preserve"> shumë dëshmitarë okularë.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19:35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Shiko gjithashtu:</w:t>
      </w:r>
    </w:p>
    <w:p w:rsidR="00000000" w:rsidDel="00000000" w:rsidP="00000000" w:rsidRDefault="00000000" w:rsidRPr="00000000">
      <w:pPr>
        <w:contextualSpacing w:val="0"/>
        <w:rPr/>
      </w:pPr>
      <w:r w:rsidDel="00000000" w:rsidR="00000000" w:rsidRPr="00000000">
        <w:rPr>
          <w:rtl w:val="0"/>
        </w:rPr>
        <w:t xml:space="preserve">Gjoni, Apostulli dhe shkrimtari i Ungjillit; Një prej të dymbëdhjetëve të Jezusit:</w:t>
      </w:r>
    </w:p>
    <w:p w:rsidR="00000000" w:rsidDel="00000000" w:rsidP="00000000" w:rsidRDefault="00000000" w:rsidRPr="00000000">
      <w:pPr>
        <w:contextualSpacing w:val="0"/>
        <w:rPr/>
      </w:pPr>
      <w:r w:rsidDel="00000000" w:rsidR="00000000" w:rsidRPr="00000000">
        <w:rPr>
          <w:rtl w:val="0"/>
        </w:rPr>
        <w:t xml:space="preserve">Gjoni 13: 23-25; 19:26; 20: 2-8; 21: 20-24</w:t>
      </w:r>
    </w:p>
    <w:p w:rsidR="00000000" w:rsidDel="00000000" w:rsidP="00000000" w:rsidRDefault="00000000" w:rsidRPr="00000000">
      <w:pPr>
        <w:contextualSpacing w:val="0"/>
        <w:rPr/>
      </w:pPr>
      <w:r w:rsidDel="00000000" w:rsidR="00000000" w:rsidRPr="00000000">
        <w:rPr>
          <w:rtl w:val="0"/>
        </w:rPr>
        <w:t xml:space="preserve">Gjon Pagëzori: Gjoni 1:29</w:t>
      </w:r>
    </w:p>
    <w:p w:rsidR="00000000" w:rsidDel="00000000" w:rsidP="00000000" w:rsidRDefault="00000000" w:rsidRPr="00000000">
      <w:pPr>
        <w:contextualSpacing w:val="0"/>
        <w:rPr/>
      </w:pPr>
      <w:r w:rsidDel="00000000" w:rsidR="00000000" w:rsidRPr="00000000">
        <w:rPr>
          <w:rtl w:val="0"/>
        </w:rPr>
        <w:t xml:space="preserve">Maria Magdalena: Gjoni 20:18</w:t>
      </w:r>
    </w:p>
    <w:p w:rsidR="00000000" w:rsidDel="00000000" w:rsidP="00000000" w:rsidRDefault="00000000" w:rsidRPr="00000000">
      <w:pPr>
        <w:contextualSpacing w:val="0"/>
        <w:rPr/>
      </w:pPr>
      <w:r w:rsidDel="00000000" w:rsidR="00000000" w:rsidRPr="00000000">
        <w:rPr>
          <w:rtl w:val="0"/>
        </w:rPr>
        <w:t xml:space="preserve">11 dishepujt: Gjoni 20: 19-29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Gjeni nga </w:t>
      </w:r>
      <w:r w:rsidDel="00000000" w:rsidR="00000000" w:rsidRPr="00000000">
        <w:rPr>
          <w:i w:val="1"/>
          <w:rtl w:val="0"/>
        </w:rPr>
        <w:t xml:space="preserve">përvoja juaj</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7:17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Mesazhi i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kemi parë se Jezusi ishte Perëndi në një trup njerëzor. Ne kemi shikuar provat që mbështesin pretendimin e tij. Tani duhet të kuptojmë mesazhin e tij për 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këtë moment ju besoni ose jo në Zot. Sido që të jetë, ai ka të ngjarë, në rastin më të mirë, të jetë një figurë e largët për ju - dikush larg që ka pak ose aspak përfshirje në jetën tuaj. Jezusi tha: "... nëse një nuk ka rilindur, nuk mund ta shohë mbretërinë e Perëndisë. " Gjoni 3: 3 dmth. Duhet të përjetoni lindjen </w:t>
      </w:r>
      <w:r w:rsidDel="00000000" w:rsidR="00000000" w:rsidRPr="00000000">
        <w:rPr>
          <w:i w:val="1"/>
          <w:rtl w:val="0"/>
        </w:rPr>
        <w:t xml:space="preserve">shpirtërore</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Ndoshta ju keni pyetje të mëdha në jetë:</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Nga kemi ardhur?</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Ku po shkojme?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Kush jam unë?</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Pse jam gjallë?</w:t>
      </w:r>
    </w:p>
    <w:p w:rsidR="00000000" w:rsidDel="00000000" w:rsidP="00000000" w:rsidRDefault="00000000" w:rsidRPr="00000000">
      <w:pPr>
        <w:contextualSpacing w:val="0"/>
        <w:rPr/>
      </w:pPr>
      <w:r w:rsidDel="00000000" w:rsidR="00000000" w:rsidRPr="00000000">
        <w:rPr>
          <w:rtl w:val="0"/>
        </w:rPr>
        <w:t xml:space="preserve">Jeta nuk ka kuptim ndërkohë që jemi të ndarë, të prerë, të shkëputur nga marrëdhënia me Krijuesin tonë. Ne jemi të ndarë nga Perëndia me anë të mëkatit tonë. ('Mëkati' në thelb do të thotë një kundërvajtje kundër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Mëkati më i madh është të refuzojmë Perëndinë dhe të mos i japim atij vendin e tij të duhur (si Zot) në jetën tonë.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Gjonin 1: 11-12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3:36</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Shih edhe Gjoni 13:13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Përgjigja Ndaj Mëkatit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 shkak se mëkati na ndan nga Perëndia, përpara se marrëdhënia jonë me Perëndinë të rivendoset/restaurohet,ai duhet të trajtohet. Prandaj erdhi Jezusi.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3:16</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vdekja e Jezusit që paguan për mëkatin e të gjithë botës. Në një pjesë tjetër të Dhiatës së Re, apostulli Simon Pjetri thotë këtë: «Sepse edhe Krishti ka vuajtur një herë për mëkatet, i drejti për të padrejtët, për të na çuar te Perëndia.» 1 Pjetrit 3:18.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t xml:space="preserve">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Shënime: * 1 Për detaje shiko </w:t>
      </w:r>
      <w:r w:rsidDel="00000000" w:rsidR="00000000" w:rsidRPr="00000000">
        <w:rPr>
          <w:rFonts w:ascii="Times New Roman" w:cs="Times New Roman" w:eastAsia="Times New Roman" w:hAnsi="Times New Roman"/>
          <w:i w:val="1"/>
          <w:sz w:val="24"/>
          <w:szCs w:val="24"/>
          <w:rtl w:val="0"/>
        </w:rPr>
        <w:t xml:space="preserve">Evidence that Demands a Verdict</w:t>
      </w:r>
      <w:r w:rsidDel="00000000" w:rsidR="00000000" w:rsidRPr="00000000">
        <w:rPr>
          <w:rtl w:val="0"/>
        </w:rPr>
        <w:t xml:space="preserve">, Josh McDowell, botuar nga Authentic Lifestyle, ISBN: 1-8507.8552-X</w:t>
      </w:r>
    </w:p>
    <w:p w:rsidR="00000000" w:rsidDel="00000000" w:rsidP="00000000" w:rsidRDefault="00000000" w:rsidRPr="00000000">
      <w:pPr>
        <w:contextualSpacing w:val="0"/>
        <w:rPr/>
      </w:pPr>
      <w:r w:rsidDel="00000000" w:rsidR="00000000" w:rsidRPr="00000000">
        <w:rPr>
          <w:rtl w:val="0"/>
        </w:rPr>
        <w:t xml:space="preserve">* 2 Për detaje shihni </w:t>
      </w:r>
      <w:r w:rsidDel="00000000" w:rsidR="00000000" w:rsidRPr="00000000">
        <w:rPr>
          <w:rFonts w:ascii="Times New Roman" w:cs="Times New Roman" w:eastAsia="Times New Roman" w:hAnsi="Times New Roman"/>
          <w:i w:val="1"/>
          <w:sz w:val="24"/>
          <w:szCs w:val="24"/>
          <w:rtl w:val="0"/>
        </w:rPr>
        <w:t xml:space="preserve">Who Moved the Stone</w:t>
      </w:r>
      <w:r w:rsidDel="00000000" w:rsidR="00000000" w:rsidRPr="00000000">
        <w:rPr>
          <w:rtl w:val="0"/>
        </w:rPr>
        <w:t xml:space="preserve">, Frank Morison, botuar nga Authentic Lifestyle, ISBN: 1-8507.8674-7 ose shihni * </w:t>
      </w:r>
      <w:r w:rsidDel="00000000" w:rsidR="00000000" w:rsidRPr="00000000">
        <w:rPr>
          <w:vertAlign w:val="superscript"/>
          <w:rtl w:val="0"/>
        </w:rPr>
        <w:t xml:space="preserve">1</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